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1EF1" w:rsidRDefault="00C41EF1" w:rsidP="00C41EF1">
      <w:pPr>
        <w:jc w:val="center"/>
        <w:rPr>
          <w:i/>
        </w:rPr>
      </w:pPr>
      <w:bookmarkStart w:id="0" w:name="_GoBack"/>
      <w:bookmarkEnd w:id="0"/>
      <w:r>
        <w:rPr>
          <w:i/>
          <w:noProof/>
        </w:rPr>
        <w:drawing>
          <wp:inline distT="0" distB="0" distL="0" distR="0">
            <wp:extent cx="4876800" cy="1817337"/>
            <wp:effectExtent l="0" t="0" r="0" b="0"/>
            <wp:docPr id="1" name="Picture 1" descr="Y:\PHOTO Files\Atlantic Publicity JPEGS\Portugal. The Man\Portugal-The-M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HOTO Files\Atlantic Publicity JPEGS\Portugal. The Man\Portugal-The-Man-Logo.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961" t="12091" r="2451" b="16666"/>
                    <a:stretch/>
                  </pic:blipFill>
                  <pic:spPr bwMode="auto">
                    <a:xfrm>
                      <a:off x="0" y="0"/>
                      <a:ext cx="4876800" cy="1817337"/>
                    </a:xfrm>
                    <a:prstGeom prst="rect">
                      <a:avLst/>
                    </a:prstGeom>
                    <a:noFill/>
                    <a:ln>
                      <a:noFill/>
                    </a:ln>
                    <a:extLst>
                      <a:ext uri="{53640926-AAD7-44D8-BBD7-CCE9431645EC}">
                        <a14:shadowObscured xmlns:a14="http://schemas.microsoft.com/office/drawing/2010/main"/>
                      </a:ext>
                    </a:extLst>
                  </pic:spPr>
                </pic:pic>
              </a:graphicData>
            </a:graphic>
          </wp:inline>
        </w:drawing>
      </w:r>
    </w:p>
    <w:p w:rsidR="00B408AD" w:rsidRPr="00DD4E29" w:rsidRDefault="00C41EF1" w:rsidP="00C41EF1">
      <w:pPr>
        <w:jc w:val="center"/>
        <w:rPr>
          <w:sz w:val="32"/>
          <w:szCs w:val="32"/>
        </w:rPr>
      </w:pPr>
      <w:r>
        <w:rPr>
          <w:i/>
        </w:rPr>
        <w:br/>
      </w:r>
      <w:r w:rsidR="00A616CA" w:rsidRPr="00DD4E29">
        <w:rPr>
          <w:i/>
          <w:sz w:val="32"/>
          <w:szCs w:val="32"/>
        </w:rPr>
        <w:t>Evil Friends</w:t>
      </w:r>
    </w:p>
    <w:p w:rsidR="00B408AD" w:rsidRDefault="00B408AD"/>
    <w:p w:rsidR="00B408AD" w:rsidRDefault="00576828">
      <w:r>
        <w:t>It was last spring 2012,</w:t>
      </w:r>
      <w:r w:rsidR="004B4C67">
        <w:t xml:space="preserve"> and John </w:t>
      </w:r>
      <w:proofErr w:type="spellStart"/>
      <w:r w:rsidR="004B4C67">
        <w:t>Gourley</w:t>
      </w:r>
      <w:proofErr w:type="spellEnd"/>
      <w:r w:rsidR="004B4C67">
        <w:t>—</w:t>
      </w:r>
      <w:proofErr w:type="spellStart"/>
      <w:r w:rsidR="004B4C67">
        <w:t>frontman</w:t>
      </w:r>
      <w:proofErr w:type="spellEnd"/>
      <w:r w:rsidR="004B4C67">
        <w:t xml:space="preserve"> of Portugal. The Man—found himself in New York City about to ring the bell at Danger Mouse’s apar</w:t>
      </w:r>
      <w:r w:rsidR="00C975F5">
        <w:t>t</w:t>
      </w:r>
      <w:r w:rsidR="004B4C67">
        <w:t xml:space="preserve">ment--a long way from his current home in Portland, and farther </w:t>
      </w:r>
      <w:r>
        <w:t>still from his real home</w:t>
      </w:r>
      <w:r w:rsidR="004B4C67">
        <w:t xml:space="preserve"> in Alaska.</w:t>
      </w:r>
      <w:r w:rsidR="00A616CA">
        <w:t xml:space="preserve"> Six f</w:t>
      </w:r>
      <w:r w:rsidR="005534FF">
        <w:t>ull-length albums in six y</w:t>
      </w:r>
      <w:r>
        <w:t>ears, nonstop touring,</w:t>
      </w:r>
      <w:r w:rsidR="005534FF">
        <w:t xml:space="preserve"> a stint with The Black Keys and festival stops at Coachella, </w:t>
      </w:r>
      <w:proofErr w:type="spellStart"/>
      <w:r w:rsidR="005534FF">
        <w:t>Bonnaroo</w:t>
      </w:r>
      <w:proofErr w:type="spellEnd"/>
      <w:r w:rsidR="005534FF">
        <w:t xml:space="preserve"> and Lollapalooza—</w:t>
      </w:r>
      <w:r w:rsidR="004B4C67">
        <w:t xml:space="preserve">up until this moment, </w:t>
      </w:r>
      <w:r w:rsidR="005534FF">
        <w:t xml:space="preserve">Portugal. The Man embodied </w:t>
      </w:r>
      <w:r w:rsidR="00A616CA">
        <w:t xml:space="preserve">all dimensions of DIY rock range. </w:t>
      </w:r>
    </w:p>
    <w:p w:rsidR="00B408AD" w:rsidRDefault="00B408AD"/>
    <w:p w:rsidR="00B408AD" w:rsidRDefault="00576828">
      <w:r>
        <w:t>W</w:t>
      </w:r>
      <w:r w:rsidR="005534FF">
        <w:t>hen it came time to begin work on the seventh album, Gourley thought long and hard about the next move and kept coming back to one concept:</w:t>
      </w:r>
      <w:r w:rsidR="00A616CA">
        <w:t xml:space="preserve"> </w:t>
      </w:r>
      <w:r w:rsidR="00A616CA">
        <w:rPr>
          <w:i/>
        </w:rPr>
        <w:t>The most satisfying work is collaborative work</w:t>
      </w:r>
      <w:r w:rsidR="00A616CA">
        <w:t xml:space="preserve">. From building houses with his father in Alaska to building a devoted </w:t>
      </w:r>
      <w:proofErr w:type="spellStart"/>
      <w:r w:rsidR="00A616CA">
        <w:t>fanbase</w:t>
      </w:r>
      <w:proofErr w:type="spellEnd"/>
      <w:r w:rsidR="00A616CA">
        <w:t xml:space="preserve">, he had sought partnerships. So he took a bold step — bold for a proven band, bolder still for its uncertainty of sound — a </w:t>
      </w:r>
      <w:r w:rsidR="00466B79">
        <w:t xml:space="preserve">step up to the apartment of a possible </w:t>
      </w:r>
      <w:r w:rsidR="00A616CA">
        <w:t>collaborator, Danger Mouse.</w:t>
      </w:r>
    </w:p>
    <w:p w:rsidR="00B408AD" w:rsidRDefault="00B408AD"/>
    <w:p w:rsidR="00B408AD" w:rsidRDefault="00A616CA">
      <w:r>
        <w:t xml:space="preserve">“I walked into his place,” Gourley remembers now. “And </w:t>
      </w:r>
      <w:r w:rsidR="00466B79">
        <w:t>it wasn’t going to happen.  H</w:t>
      </w:r>
      <w:r>
        <w:t>e was like, ‘Hey, man, just so you know, I don’t really want to re</w:t>
      </w:r>
      <w:r w:rsidR="00466B79">
        <w:t>cord a rock band.’ And I was a little relieved.  We</w:t>
      </w:r>
      <w:r w:rsidR="004B4C67">
        <w:t>’d done this by ourselves before</w:t>
      </w:r>
      <w:r w:rsidR="00466B79">
        <w:t xml:space="preserve">, and we </w:t>
      </w:r>
      <w:r w:rsidR="00576828">
        <w:t xml:space="preserve">knew we </w:t>
      </w:r>
      <w:r w:rsidR="00466B79">
        <w:t>could do it by ourselves again.”</w:t>
      </w:r>
    </w:p>
    <w:p w:rsidR="00B408AD" w:rsidRDefault="00B408AD"/>
    <w:p w:rsidR="00B408AD" w:rsidRDefault="00576828">
      <w:r>
        <w:t>But t</w:t>
      </w:r>
      <w:r w:rsidR="00A616CA">
        <w:t xml:space="preserve">hen they got to listening, and to talking about how much Danger Mouse had loved </w:t>
      </w:r>
      <w:r w:rsidR="00A616CA">
        <w:rPr>
          <w:i/>
        </w:rPr>
        <w:t xml:space="preserve">In the Mountain in the Cloud </w:t>
      </w:r>
      <w:r w:rsidR="00A616CA">
        <w:t xml:space="preserve">— the 2011 </w:t>
      </w:r>
      <w:proofErr w:type="spellStart"/>
      <w:r w:rsidR="00A616CA">
        <w:t>followup</w:t>
      </w:r>
      <w:proofErr w:type="spellEnd"/>
      <w:r w:rsidR="00A616CA">
        <w:t xml:space="preserve"> to Portugal. </w:t>
      </w:r>
      <w:proofErr w:type="gramStart"/>
      <w:r w:rsidR="00A616CA">
        <w:t xml:space="preserve">The Man’s break out record </w:t>
      </w:r>
      <w:r w:rsidR="00395DE2">
        <w:rPr>
          <w:i/>
        </w:rPr>
        <w:t>The Satanic Satanist</w:t>
      </w:r>
      <w:r w:rsidR="00A616CA">
        <w:t>.</w:t>
      </w:r>
      <w:proofErr w:type="gramEnd"/>
      <w:r w:rsidR="00A616CA">
        <w:t xml:space="preserve"> “From that very first meeting,” says Danger Mouse, “we were very ambitious abou</w:t>
      </w:r>
      <w:r>
        <w:t>t what we could</w:t>
      </w:r>
      <w:r w:rsidR="00466B79">
        <w:t xml:space="preserve"> do…</w:t>
      </w:r>
      <w:r w:rsidR="00A616CA">
        <w:t>otherwise there was no point. So we decided: Let’s try and make something really special.”</w:t>
      </w:r>
    </w:p>
    <w:p w:rsidR="00B408AD" w:rsidRDefault="00B408AD"/>
    <w:p w:rsidR="00B408AD" w:rsidRDefault="00466B79">
      <w:r>
        <w:t>So Danger Mouse — aka Brian Burton, the five-time Grammy award winning producer behind everything f</w:t>
      </w:r>
      <w:r w:rsidR="00C975F5">
        <w:t>rom Gnarls Barkley and Beck to T</w:t>
      </w:r>
      <w:r>
        <w:t xml:space="preserve">he Black Keys and now U2 —and the band agreed that they </w:t>
      </w:r>
      <w:r w:rsidR="00792845">
        <w:t>were game for</w:t>
      </w:r>
      <w:r>
        <w:t xml:space="preserve"> the challenge and began production</w:t>
      </w:r>
      <w:r w:rsidR="00C975F5">
        <w:t xml:space="preserve"> on</w:t>
      </w:r>
      <w:r w:rsidR="00A616CA">
        <w:t xml:space="preserve"> what would become </w:t>
      </w:r>
      <w:r w:rsidR="00A616CA">
        <w:rPr>
          <w:i/>
        </w:rPr>
        <w:t>Evil Friends</w:t>
      </w:r>
      <w:r w:rsidR="00A616CA">
        <w:t xml:space="preserve">, the undaunted re-awakening for Portugal. The Man. </w:t>
      </w:r>
      <w:r w:rsidR="00792845">
        <w:t>As much as their collaborative imaginations melded, to construct songs that lived up to the ambitious vision</w:t>
      </w:r>
      <w:r w:rsidR="00576828">
        <w:t>s they had would take some time</w:t>
      </w:r>
      <w:r w:rsidR="00A616CA">
        <w:t xml:space="preserve">. After all, here was a </w:t>
      </w:r>
      <w:r w:rsidR="00792845">
        <w:t xml:space="preserve">band with </w:t>
      </w:r>
      <w:r w:rsidR="00A616CA">
        <w:t xml:space="preserve">an evolving lineup — Kyle </w:t>
      </w:r>
      <w:proofErr w:type="spellStart"/>
      <w:r w:rsidR="00A616CA">
        <w:t>O’Quin</w:t>
      </w:r>
      <w:proofErr w:type="spellEnd"/>
      <w:r w:rsidR="00A616CA">
        <w:t xml:space="preserve"> on keyboards</w:t>
      </w:r>
      <w:r w:rsidR="00792845">
        <w:t xml:space="preserve">, Noah </w:t>
      </w:r>
      <w:proofErr w:type="spellStart"/>
      <w:r w:rsidR="00792845">
        <w:t>Gersh</w:t>
      </w:r>
      <w:proofErr w:type="spellEnd"/>
      <w:r w:rsidR="00792845">
        <w:t xml:space="preserve"> on guitar</w:t>
      </w:r>
      <w:r w:rsidR="00576828">
        <w:t>/percussion/keyboards</w:t>
      </w:r>
      <w:r w:rsidR="00792845">
        <w:t>,</w:t>
      </w:r>
      <w:r w:rsidR="00A616CA">
        <w:t xml:space="preserve"> and Kane </w:t>
      </w:r>
      <w:proofErr w:type="spellStart"/>
      <w:r w:rsidR="00A616CA">
        <w:t>Ritchotte</w:t>
      </w:r>
      <w:proofErr w:type="spellEnd"/>
      <w:r w:rsidR="00A616CA">
        <w:t xml:space="preserve"> on drums joined Za</w:t>
      </w:r>
      <w:r w:rsidR="00792845">
        <w:t>ch Carothers on bass and vocals</w:t>
      </w:r>
      <w:r w:rsidR="00A616CA">
        <w:t xml:space="preserve"> and Gourley on lead vocals and guitar —</w:t>
      </w:r>
      <w:r w:rsidR="00576828">
        <w:t xml:space="preserve"> building new songs with a new producer trying to do something</w:t>
      </w:r>
      <w:r w:rsidR="0094084B">
        <w:t xml:space="preserve"> neither of them had done before</w:t>
      </w:r>
      <w:r w:rsidR="00792845">
        <w:t>.</w:t>
      </w:r>
    </w:p>
    <w:p w:rsidR="00B408AD" w:rsidRDefault="00B408AD"/>
    <w:p w:rsidR="00B408AD" w:rsidRDefault="00A616CA">
      <w:r>
        <w:t>They went, to</w:t>
      </w:r>
      <w:r w:rsidR="00C975F5">
        <w:t>gether, to Los Angeles</w:t>
      </w:r>
      <w:r w:rsidR="00EA63AF">
        <w:t xml:space="preserve"> and</w:t>
      </w:r>
      <w:r>
        <w:t xml:space="preserve"> worked</w:t>
      </w:r>
      <w:r w:rsidR="00C975F5">
        <w:t xml:space="preserve"> through several sessions</w:t>
      </w:r>
      <w:r w:rsidR="00C975F5" w:rsidRPr="00C975F5">
        <w:t xml:space="preserve"> — </w:t>
      </w:r>
      <w:r w:rsidR="00C975F5">
        <w:t>a</w:t>
      </w:r>
      <w:r w:rsidR="00EA63AF">
        <w:t xml:space="preserve">t Mondo Studios, </w:t>
      </w:r>
      <w:proofErr w:type="spellStart"/>
      <w:r w:rsidR="00EA63AF">
        <w:t>Eltro</w:t>
      </w:r>
      <w:proofErr w:type="spellEnd"/>
      <w:r w:rsidR="00EA63AF">
        <w:t xml:space="preserve"> </w:t>
      </w:r>
      <w:proofErr w:type="spellStart"/>
      <w:r w:rsidR="00EA63AF">
        <w:t>Vox</w:t>
      </w:r>
      <w:proofErr w:type="spellEnd"/>
      <w:r w:rsidR="00EA63AF">
        <w:t xml:space="preserve"> Studios, and </w:t>
      </w:r>
      <w:proofErr w:type="spellStart"/>
      <w:r w:rsidR="00EA63AF">
        <w:t>Kingsize</w:t>
      </w:r>
      <w:proofErr w:type="spellEnd"/>
      <w:r w:rsidR="00EA63AF">
        <w:t xml:space="preserve"> </w:t>
      </w:r>
      <w:proofErr w:type="spellStart"/>
      <w:r w:rsidR="00EA63AF">
        <w:t>Soundlabs</w:t>
      </w:r>
      <w:proofErr w:type="spellEnd"/>
      <w:r w:rsidR="00EA63AF">
        <w:t xml:space="preserve">.  The band worked </w:t>
      </w:r>
      <w:r>
        <w:t xml:space="preserve">months longer than they ever </w:t>
      </w:r>
      <w:r>
        <w:lastRenderedPageBreak/>
        <w:t xml:space="preserve">had on one thing. And somehow — maybe it was the collaboration in the air, or maybe sheer will — they </w:t>
      </w:r>
      <w:r w:rsidR="00EA63AF">
        <w:t xml:space="preserve">finally stopped searching and started </w:t>
      </w:r>
      <w:r w:rsidR="0094084B">
        <w:t>realizing</w:t>
      </w:r>
      <w:r w:rsidR="00EA63AF">
        <w:t>:</w:t>
      </w:r>
      <w:r>
        <w:t xml:space="preserve"> “</w:t>
      </w:r>
      <w:r w:rsidR="00EA63AF">
        <w:t>W</w:t>
      </w:r>
      <w:r>
        <w:t>hat really brought</w:t>
      </w:r>
      <w:r w:rsidR="00EA63AF">
        <w:t xml:space="preserve"> our record together was</w:t>
      </w:r>
      <w:r>
        <w:t xml:space="preserve"> getting past that period of looking for something,</w:t>
      </w:r>
      <w:r w:rsidR="00EA63AF">
        <w:t xml:space="preserve"> and figuring</w:t>
      </w:r>
      <w:r>
        <w:t xml:space="preserve"> out how to </w:t>
      </w:r>
      <w:r>
        <w:rPr>
          <w:i/>
        </w:rPr>
        <w:t xml:space="preserve">do </w:t>
      </w:r>
      <w:r>
        <w:t>something really new, rea</w:t>
      </w:r>
      <w:r w:rsidR="00395DE2">
        <w:t>lly hard, and really satisfying,</w:t>
      </w:r>
      <w:r>
        <w:t>”</w:t>
      </w:r>
      <w:r w:rsidR="00395DE2">
        <w:t xml:space="preserve"> said Gourley.</w:t>
      </w:r>
    </w:p>
    <w:p w:rsidR="00B408AD" w:rsidRDefault="00B408AD"/>
    <w:p w:rsidR="00B408AD" w:rsidRDefault="00A616CA">
      <w:r>
        <w:t xml:space="preserve">Each track on </w:t>
      </w:r>
      <w:r>
        <w:rPr>
          <w:i/>
        </w:rPr>
        <w:t xml:space="preserve">Evil Friends </w:t>
      </w:r>
      <w:r>
        <w:t xml:space="preserve">is as different from the next as Portugal. The Man’s previous records were from each other, which </w:t>
      </w:r>
      <w:proofErr w:type="gramStart"/>
      <w:r>
        <w:t>is</w:t>
      </w:r>
      <w:proofErr w:type="gramEnd"/>
      <w:r>
        <w:t xml:space="preserve"> to say a piece of a growing mindscape, and wholly a part of the group’s tumbling fever dream. Where the 2009 hit “People Say” was a cheery guitar rally, the new title track is a bells-and-balls ballad emerging from darkness into a pipe-whistling </w:t>
      </w:r>
      <w:proofErr w:type="spellStart"/>
      <w:r>
        <w:t>punky</w:t>
      </w:r>
      <w:proofErr w:type="spellEnd"/>
      <w:r>
        <w:t xml:space="preserve"> thump, albeit with </w:t>
      </w:r>
      <w:proofErr w:type="spellStart"/>
      <w:r>
        <w:t>Gourley’s</w:t>
      </w:r>
      <w:proofErr w:type="spellEnd"/>
      <w:r>
        <w:t xml:space="preserve"> trademark falsetto and thundering guitar. And yet here is </w:t>
      </w:r>
      <w:r>
        <w:rPr>
          <w:i/>
        </w:rPr>
        <w:t xml:space="preserve">Evil Friends </w:t>
      </w:r>
      <w:r>
        <w:t>swirling, like a tornado that sends a napping child toward Oz, into something of a tale of Portugal. The Man’s arousal from when it decided to make something special to when it actually did: The weighted down questions of “Plastic Soldiers” (</w:t>
      </w:r>
      <w:r>
        <w:rPr>
          <w:i/>
        </w:rPr>
        <w:t>Could it be we got lost in the summer? / Well I know you know that it’s over</w:t>
      </w:r>
      <w:r>
        <w:t>) give way to the confident melodies of “Modern Jesus” (</w:t>
      </w:r>
      <w:r>
        <w:rPr>
          <w:i/>
        </w:rPr>
        <w:t>The only rule we need is never giving up / The only faith we have is faith in us</w:t>
      </w:r>
      <w:r>
        <w:t>) and fin</w:t>
      </w:r>
      <w:r w:rsidR="0094084B">
        <w:t>ally, brazenly, to the</w:t>
      </w:r>
      <w:r>
        <w:t xml:space="preserve"> anthem “Smile” (</w:t>
      </w:r>
      <w:r>
        <w:rPr>
          <w:i/>
        </w:rPr>
        <w:t>We watched the sun come up / But took it down to hide it / Seems like the spring has come and gone / It felt like forever</w:t>
      </w:r>
      <w:r>
        <w:t>).</w:t>
      </w:r>
    </w:p>
    <w:p w:rsidR="00B408AD" w:rsidRDefault="00B408AD"/>
    <w:p w:rsidR="00B408AD" w:rsidRDefault="0094084B">
      <w:r>
        <w:t>It took</w:t>
      </w:r>
      <w:r w:rsidR="00A616CA">
        <w:t xml:space="preserve"> all year, and Portugal. The Man — a group guaranteed for seven years to pump out a record, to tour and tour and tour, to tuck its fans to bed at night with a c</w:t>
      </w:r>
      <w:r>
        <w:t xml:space="preserve">ommunity of </w:t>
      </w:r>
      <w:proofErr w:type="gramStart"/>
      <w:r>
        <w:t xml:space="preserve">psychedelic </w:t>
      </w:r>
      <w:r w:rsidR="00A616CA">
        <w:t xml:space="preserve"> rock</w:t>
      </w:r>
      <w:proofErr w:type="gramEnd"/>
      <w:r w:rsidR="00A616CA">
        <w:t xml:space="preserve"> — had learned to slow down and transform all-day, all-night recording with Danger Mouse into adrenaline, into words that are at once dark and light, into sounds that are overlapping with danger and charm. The whole “evil friends” thing was just a happy writing accident, by the way, a lyrical coincidence belying a collaborative friendship Burton says taught him, too: “I felt like I was watching them do something special and I wanted to let them do it, so sometimes I was more hands-on, but sometimes more hands-off than I had been with anyo</w:t>
      </w:r>
      <w:r w:rsidR="00EA63AF">
        <w:t>ne,” says Danger Mouse. “T</w:t>
      </w:r>
      <w:r w:rsidR="00A616CA">
        <w:t>hey had done enough albums that I thought it would be fun to shake it up a little bit.”</w:t>
      </w:r>
    </w:p>
    <w:p w:rsidR="00B408AD" w:rsidRDefault="00B408AD"/>
    <w:p w:rsidR="00B408AD" w:rsidRDefault="00EA63AF">
      <w:r>
        <w:t xml:space="preserve">“In the beginning, I asked Brian </w:t>
      </w:r>
      <w:r w:rsidR="00A616CA">
        <w:t>why he had wante</w:t>
      </w:r>
      <w:r>
        <w:t>d to talk about making a record,” recalls Gourley.</w:t>
      </w:r>
      <w:r w:rsidR="00A616CA">
        <w:t xml:space="preserve"> </w:t>
      </w:r>
      <w:r>
        <w:t>“</w:t>
      </w:r>
      <w:r w:rsidR="00A616CA">
        <w:t>And</w:t>
      </w:r>
      <w:r>
        <w:t xml:space="preserve"> he admitted that he was surprised when he saw us live.</w:t>
      </w:r>
      <w:r w:rsidR="00A616CA">
        <w:t xml:space="preserve"> ‘I didn’t</w:t>
      </w:r>
      <w:r w:rsidR="00E56F80">
        <w:t xml:space="preserve"> know you guys could sound like that</w:t>
      </w:r>
      <w:r w:rsidR="00A616CA">
        <w:t xml:space="preserve">.’ There had been this perception that we’ve been something else — and I’ve noticed it, at festivals, everywhere — that we were something we were not. But then we got in a room with Danger Mouse, to the place where we could just throw that out, wake up and say, </w:t>
      </w:r>
      <w:proofErr w:type="gramStart"/>
      <w:r w:rsidR="00A616CA">
        <w:rPr>
          <w:i/>
        </w:rPr>
        <w:t>Here</w:t>
      </w:r>
      <w:proofErr w:type="gramEnd"/>
      <w:r w:rsidR="00A616CA">
        <w:rPr>
          <w:i/>
        </w:rPr>
        <w:t xml:space="preserve"> we are. We’re this band! Let’s just make it, together.</w:t>
      </w:r>
      <w:r w:rsidR="00A616CA">
        <w:t>”</w:t>
      </w:r>
    </w:p>
    <w:p w:rsidR="00B408AD" w:rsidRDefault="00B408AD"/>
    <w:p w:rsidR="00B408AD" w:rsidRDefault="00B408AD"/>
    <w:p w:rsidR="00B408AD" w:rsidRDefault="00A616CA">
      <w:pPr>
        <w:jc w:val="right"/>
      </w:pPr>
      <w:r>
        <w:t>March 2013</w:t>
      </w:r>
    </w:p>
    <w:p w:rsidR="00C41EF1" w:rsidRDefault="00C41EF1">
      <w:pPr>
        <w:jc w:val="right"/>
      </w:pPr>
    </w:p>
    <w:p w:rsidR="00C41EF1" w:rsidRDefault="00C41EF1">
      <w:pPr>
        <w:jc w:val="right"/>
      </w:pPr>
    </w:p>
    <w:p w:rsidR="00C41EF1" w:rsidRDefault="00C41EF1" w:rsidP="00C41EF1">
      <w:pPr>
        <w:pStyle w:val="Header"/>
        <w:tabs>
          <w:tab w:val="clear" w:pos="4320"/>
          <w:tab w:val="clear" w:pos="8640"/>
        </w:tabs>
      </w:pPr>
    </w:p>
    <w:p w:rsidR="00C41EF1" w:rsidRDefault="00C41EF1" w:rsidP="00C41EF1">
      <w:pPr>
        <w:pStyle w:val="Header"/>
        <w:tabs>
          <w:tab w:val="clear" w:pos="4320"/>
          <w:tab w:val="clear" w:pos="8640"/>
        </w:tabs>
        <w:jc w:val="center"/>
        <w:rPr>
          <w:rFonts w:ascii="Arial" w:hAnsi="Arial" w:cs="Arial"/>
        </w:rPr>
      </w:pPr>
      <w:r>
        <w:rPr>
          <w:rFonts w:ascii="Arial" w:hAnsi="Arial" w:cs="Arial"/>
          <w:noProof/>
        </w:rPr>
        <w:drawing>
          <wp:inline distT="0" distB="0" distL="0" distR="0" wp14:anchorId="15FB9621" wp14:editId="6FBB2902">
            <wp:extent cx="638355" cy="594831"/>
            <wp:effectExtent l="0" t="0" r="0" b="0"/>
            <wp:docPr id="2" name="Picture 2" descr="Atlantic black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lantic black d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196" cy="598411"/>
                    </a:xfrm>
                    <a:prstGeom prst="rect">
                      <a:avLst/>
                    </a:prstGeom>
                    <a:noFill/>
                    <a:ln>
                      <a:noFill/>
                    </a:ln>
                  </pic:spPr>
                </pic:pic>
              </a:graphicData>
            </a:graphic>
          </wp:inline>
        </w:drawing>
      </w:r>
      <w:r>
        <w:t xml:space="preserve"> </w:t>
      </w:r>
    </w:p>
    <w:p w:rsidR="00C41EF1" w:rsidRDefault="00C41EF1" w:rsidP="00C41EF1">
      <w:pPr>
        <w:pStyle w:val="Header"/>
        <w:tabs>
          <w:tab w:val="clear" w:pos="4320"/>
          <w:tab w:val="clear" w:pos="8640"/>
        </w:tabs>
        <w:jc w:val="center"/>
        <w:rPr>
          <w:rFonts w:ascii="Arial" w:hAnsi="Arial" w:cs="Arial"/>
          <w:sz w:val="22"/>
          <w:szCs w:val="22"/>
        </w:rPr>
      </w:pPr>
      <w:r>
        <w:rPr>
          <w:rFonts w:ascii="Arial" w:hAnsi="Arial" w:cs="Arial"/>
          <w:sz w:val="22"/>
          <w:szCs w:val="22"/>
        </w:rPr>
        <w:t>Atlantic Recording Corporation</w:t>
      </w:r>
    </w:p>
    <w:p w:rsidR="00C41EF1" w:rsidRDefault="00C41EF1" w:rsidP="00C41EF1">
      <w:pPr>
        <w:jc w:val="center"/>
      </w:pPr>
      <w:r>
        <w:t xml:space="preserve">1290 Avenue of the </w:t>
      </w:r>
      <w:proofErr w:type="gramStart"/>
      <w:r>
        <w:t xml:space="preserve">Americas  </w:t>
      </w:r>
      <w:smartTag w:uri="urn:schemas-microsoft-com:office:smarttags" w:element="place">
        <w:smartTag w:uri="urn:schemas-microsoft-com:office:smarttags" w:element="City">
          <w:r>
            <w:t>New</w:t>
          </w:r>
          <w:proofErr w:type="gramEnd"/>
          <w:r>
            <w:t xml:space="preserve"> York</w:t>
          </w:r>
        </w:smartTag>
        <w:r>
          <w:t xml:space="preserve">, </w:t>
        </w:r>
        <w:smartTag w:uri="urn:schemas-microsoft-com:office:smarttags" w:element="State">
          <w:r>
            <w:t>NY</w:t>
          </w:r>
        </w:smartTag>
        <w:r>
          <w:t xml:space="preserve">  </w:t>
        </w:r>
        <w:smartTag w:uri="urn:schemas-microsoft-com:office:smarttags" w:element="PostalCode">
          <w:r>
            <w:t>10104</w:t>
          </w:r>
        </w:smartTag>
      </w:smartTag>
    </w:p>
    <w:p w:rsidR="00C41EF1" w:rsidRDefault="00C41EF1" w:rsidP="00C41EF1">
      <w:pPr>
        <w:jc w:val="center"/>
      </w:pPr>
      <w:r>
        <w:t>Tel: 212.707.2000 Fax: 212.405.5477</w:t>
      </w:r>
    </w:p>
    <w:p w:rsidR="00C41EF1" w:rsidRDefault="00C41EF1" w:rsidP="00C41EF1">
      <w:pPr>
        <w:jc w:val="center"/>
      </w:pPr>
      <w:smartTag w:uri="urn:schemas-microsoft-com:office:smarttags" w:element="address">
        <w:smartTag w:uri="urn:schemas-microsoft-com:office:smarttags" w:element="Street">
          <w:r>
            <w:t>3400 W. Olive Ave.</w:t>
          </w:r>
        </w:smartTag>
        <w:r>
          <w:t xml:space="preserve"> </w:t>
        </w:r>
        <w:smartTag w:uri="urn:schemas-microsoft-com:office:smarttags" w:element="City">
          <w:r>
            <w:t>Burbank</w:t>
          </w:r>
        </w:smartTag>
        <w:r>
          <w:t xml:space="preserve">, </w:t>
        </w:r>
        <w:smartTag w:uri="urn:schemas-microsoft-com:office:smarttags" w:element="State">
          <w:r>
            <w:t>CA</w:t>
          </w:r>
        </w:smartTag>
        <w:r>
          <w:t xml:space="preserve"> </w:t>
        </w:r>
        <w:smartTag w:uri="urn:schemas-microsoft-com:office:smarttags" w:element="PostalCode">
          <w:r>
            <w:t>91505</w:t>
          </w:r>
        </w:smartTag>
      </w:smartTag>
    </w:p>
    <w:p w:rsidR="00C41EF1" w:rsidRDefault="00C41EF1" w:rsidP="00C41EF1">
      <w:pPr>
        <w:jc w:val="center"/>
      </w:pPr>
      <w:r>
        <w:t>Tel: 818.238 6800 Fax: 818.562.9211</w:t>
      </w:r>
    </w:p>
    <w:p w:rsidR="00C41EF1" w:rsidRDefault="00C41EF1" w:rsidP="00C41EF1">
      <w:pPr>
        <w:jc w:val="center"/>
        <w:rPr>
          <w:szCs w:val="20"/>
        </w:rPr>
      </w:pPr>
      <w:r>
        <w:t>http://www.atlanticrecords.com</w:t>
      </w:r>
    </w:p>
    <w:p w:rsidR="00B408AD" w:rsidRDefault="00B408AD"/>
    <w:sectPr w:rsidR="00B408AD" w:rsidSect="00C41EF1">
      <w:pgSz w:w="12240" w:h="15840"/>
      <w:pgMar w:top="720" w:right="144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408AD"/>
    <w:rsid w:val="00395DE2"/>
    <w:rsid w:val="00466B79"/>
    <w:rsid w:val="004B4C67"/>
    <w:rsid w:val="005534FF"/>
    <w:rsid w:val="00576828"/>
    <w:rsid w:val="006F04B0"/>
    <w:rsid w:val="00792845"/>
    <w:rsid w:val="00934A95"/>
    <w:rsid w:val="0094084B"/>
    <w:rsid w:val="00A616CA"/>
    <w:rsid w:val="00B408AD"/>
    <w:rsid w:val="00C41EF1"/>
    <w:rsid w:val="00C975F5"/>
    <w:rsid w:val="00DD4E29"/>
    <w:rsid w:val="00E56F80"/>
    <w:rsid w:val="00EA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975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5F5"/>
    <w:rPr>
      <w:rFonts w:ascii="Tahoma" w:eastAsia="Arial" w:hAnsi="Tahoma" w:cs="Tahoma"/>
      <w:color w:val="000000"/>
      <w:sz w:val="16"/>
      <w:szCs w:val="16"/>
    </w:rPr>
  </w:style>
  <w:style w:type="paragraph" w:styleId="Header">
    <w:name w:val="header"/>
    <w:basedOn w:val="Normal"/>
    <w:link w:val="HeaderChar"/>
    <w:rsid w:val="00C41EF1"/>
    <w:pPr>
      <w:tabs>
        <w:tab w:val="center" w:pos="4320"/>
        <w:tab w:val="right" w:pos="8640"/>
      </w:tabs>
      <w:spacing w:line="240" w:lineRule="auto"/>
    </w:pPr>
    <w:rPr>
      <w:rFonts w:ascii="Times" w:eastAsia="Times" w:hAnsi="Times" w:cs="Times New Roman"/>
      <w:color w:val="auto"/>
      <w:sz w:val="24"/>
      <w:szCs w:val="20"/>
    </w:rPr>
  </w:style>
  <w:style w:type="character" w:customStyle="1" w:styleId="HeaderChar">
    <w:name w:val="Header Char"/>
    <w:basedOn w:val="DefaultParagraphFont"/>
    <w:link w:val="Header"/>
    <w:rsid w:val="00C41EF1"/>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975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5F5"/>
    <w:rPr>
      <w:rFonts w:ascii="Tahoma" w:eastAsia="Arial" w:hAnsi="Tahoma" w:cs="Tahoma"/>
      <w:color w:val="000000"/>
      <w:sz w:val="16"/>
      <w:szCs w:val="16"/>
    </w:rPr>
  </w:style>
  <w:style w:type="paragraph" w:styleId="Header">
    <w:name w:val="header"/>
    <w:basedOn w:val="Normal"/>
    <w:link w:val="HeaderChar"/>
    <w:rsid w:val="00C41EF1"/>
    <w:pPr>
      <w:tabs>
        <w:tab w:val="center" w:pos="4320"/>
        <w:tab w:val="right" w:pos="8640"/>
      </w:tabs>
      <w:spacing w:line="240" w:lineRule="auto"/>
    </w:pPr>
    <w:rPr>
      <w:rFonts w:ascii="Times" w:eastAsia="Times" w:hAnsi="Times" w:cs="Times New Roman"/>
      <w:color w:val="auto"/>
      <w:sz w:val="24"/>
      <w:szCs w:val="20"/>
    </w:rPr>
  </w:style>
  <w:style w:type="character" w:customStyle="1" w:styleId="HeaderChar">
    <w:name w:val="Header Char"/>
    <w:basedOn w:val="DefaultParagraphFont"/>
    <w:link w:val="Header"/>
    <w:rsid w:val="00C41EF1"/>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Portugal. The Man -- Evil Friends Bio (New Draft).docx</vt:lpstr>
    </vt:vector>
  </TitlesOfParts>
  <Company>WMG</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Portugal. The Man -- Evil Friends Bio (New Draft).docx</dc:title>
  <dc:creator>White, Ashley</dc:creator>
  <cp:lastModifiedBy>Amy Laudicano</cp:lastModifiedBy>
  <cp:revision>2</cp:revision>
  <cp:lastPrinted>2013-04-12T20:17:00Z</cp:lastPrinted>
  <dcterms:created xsi:type="dcterms:W3CDTF">2013-04-12T20:52:00Z</dcterms:created>
  <dcterms:modified xsi:type="dcterms:W3CDTF">2013-04-12T20:52:00Z</dcterms:modified>
</cp:coreProperties>
</file>